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trHeight w:val="725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71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trHeight w:val="1051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trHeight w:val="827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7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trHeight w:val="138" w:hRule="atLeast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27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5" w:hRule="atLeast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93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C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RM6226 Debt Resolution Services</w:t>
    </w:r>
  </w:p>
  <w:p w:rsidR="00000000" w:rsidDel="00000000" w:rsidP="00000000" w:rsidRDefault="00000000" w:rsidRPr="00000000" w14:paraId="000000A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9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H5YiA5YS7/h6h1NXL1BwBrQ5ig==">AMUW2mUDmgnTSHYFljlT1oPi87WehNomDyhJElN3GgMVsHnZL3Zg/I0yrFaEdvqATTx8IwLCz/uz6KnLBbOhtQNp6dR26MHb35cd1U8n0tcx0t5E9lxs+6117zlYYDH5EwT7OWJUuk/Ca0/WuQC+4Fghmc1K5P8UkA==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